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2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240"/>
      </w:tblGrid>
      <w:tr>
        <w:trPr>
          <w:trHeight w:val="15820" w:hRule="atLeast"/>
        </w:trPr>
        <w:tc>
          <w:tcPr>
            <w:tcW w:type="dxa" w:w="12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1200"/>
              <w:left w:type="dxa" w:w="700"/>
              <w:bottom w:type="dxa" w:w="1200"/>
              <w:right w:type="dxa" w:w="700"/>
            </w:tcMar>
            <w:vAlign w:val="center"/>
          </w:tcPr>
          <w:p>
            <w:pPr>
              <w:spacing w:after="900"/>
            </w:pPr>
            <w:r>
              <w:rPr>
                <w:rFonts w:ascii="Calibri" w:cs="Calibri" w:eastAsia="Calibri" w:hAnsi="Calibri"/>
                <w:b/>
                <w:bCs/>
                <w:color w:val="2F6FDB"/>
                <w:spacing w:val="30"/>
                <w:sz w:val="20"/>
                <w:szCs w:val="20"/>
              </w:rPr>
              <w:t xml:space="preserve">COMPANY BROCHURE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68"/>
                <w:szCs w:val="68"/>
              </w:rPr>
              <w:t xml:space="preserve">AVIDBOLT</w:t>
            </w:r>
          </w:p>
          <w:p>
            <w:pPr>
              <w:spacing w:after="500"/>
            </w:pPr>
            <w:r>
              <w:rPr>
                <w:rFonts w:ascii="Calibri" w:cs="Calibri" w:eastAsia="Calibri" w:hAnsi="Calibri"/>
                <w:b/>
                <w:bCs/>
                <w:color w:val="2F6FDB"/>
                <w:sz w:val="68"/>
                <w:szCs w:val="68"/>
              </w:rPr>
              <w:t xml:space="preserve">SOLUTIONS</w:t>
            </w:r>
          </w:p>
          <w:p>
            <w:pPr>
              <w:spacing w:after="2200"/>
            </w:pPr>
            <w:r>
              <w:rPr>
                <w:rFonts w:ascii="Calibri" w:cs="Calibri" w:eastAsia="Calibri" w:hAnsi="Calibri"/>
                <w:i/>
                <w:iCs/>
                <w:color w:val="C7D2E3"/>
                <w:sz w:val="24"/>
                <w:szCs w:val="24"/>
              </w:rPr>
              <w:t xml:space="preserve">Your growth partner for high-performance enterprise applications and digital transformation.</w:t>
            </w:r>
          </w:p>
          <w:p>
            <w:pPr>
              <w:pBdr>
                <w:top w:val="single" w:color="2F6FDB" w:sz="8"/>
              </w:pBdr>
              <w:spacing w:after="120"/>
            </w:pP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Salesforce  •  SAP  •  ServiceNow  •  MS Dynamics 365  •  App &amp; Cloud Development</w:t>
            </w:r>
          </w:p>
          <w:p>
            <w:pPr>
              <w:spacing w:before="1600"/>
            </w:pPr>
            <w:r>
              <w:rPr>
                <w:rFonts w:ascii="Calibri" w:cs="Calibri" w:eastAsia="Calibri" w:hAnsi="Calibri"/>
                <w:color w:val="9FB0C8"/>
                <w:sz w:val="16"/>
                <w:szCs w:val="16"/>
              </w:rPr>
              <w:t xml:space="preserve">6951 S Custer Rd, McKinney, TX 75070   |   contact@avidboltsolution.com   |   (915) 235-6931</w:t>
            </w:r>
          </w:p>
        </w:tc>
      </w:tr>
    </w:tbl>
    <w:p>
      <w:pPr>
        <w:sectPr>
          <w:headerReference w:type="default" r:id="rId7"/>
          <w:footerReference w:type="default" r:id="rId8"/>
          <w:pgSz w:w="12240" w:h="15840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Calibri" w:cs="Calibri" w:eastAsia="Calibri" w:hAnsi="Calibri"/>
          <w:b/>
          <w:bCs/>
          <w:color w:val="2F6FDB"/>
          <w:spacing w:val="20"/>
          <w:sz w:val="18"/>
          <w:szCs w:val="18"/>
        </w:rPr>
        <w:t xml:space="preserve">ABOUT AVIDBOLT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0243E"/>
          <w:sz w:val="30"/>
          <w:szCs w:val="30"/>
        </w:rPr>
        <w:t xml:space="preserve">Your Digital Transformation Partner</w:t>
      </w:r>
    </w:p>
    <w:p>
      <w:pPr>
        <w:pBdr>
          <w:bottom w:val="single" w:color="2F6FDB" w:sz="18"/>
        </w:pBdr>
        <w:spacing w:after="200"/>
      </w:pPr>
    </w:p>
    <w:p>
      <w:pPr>
        <w:spacing w:after="160"/>
      </w:pPr>
      <w:r>
        <w:rPr>
          <w:rFonts w:ascii="Calibri" w:cs="Calibri" w:eastAsia="Calibri" w:hAnsi="Calibri"/>
          <w:color w:val="5B6B7F"/>
          <w:sz w:val="20"/>
          <w:szCs w:val="20"/>
        </w:rPr>
        <w:t xml:space="preserve">Avidbolt Solutions is a technology consulting firm built around one goal: helping growing companies get more value out of the platforms that run their business. We work across Salesforce, SAP, ServiceNow, and Microsoft Dynamics 365 — designing, building, and supporting the systems that connect sales, service, operations, and finance into one coherent picture.</w:t>
      </w:r>
    </w:p>
    <w:p>
      <w:pPr>
        <w:spacing w:after="160"/>
      </w:pPr>
      <w:r>
        <w:rPr>
          <w:rFonts w:ascii="Calibri" w:cs="Calibri" w:eastAsia="Calibri" w:hAnsi="Calibri"/>
          <w:color w:val="5B6B7F"/>
          <w:sz w:val="20"/>
          <w:szCs w:val="20"/>
        </w:rPr>
        <w:t xml:space="preserve">Rather than treating each rollout as an isolated project, our certified consultants look at how your teams actually work day to day, then architect a platform that removes friction instead of adding another tool to manage. The result is technology that keeps pace with your growth instead of slowing it down.</w:t>
      </w:r>
    </w:p>
    <w:p>
      <w:pPr>
        <w:spacing w:after="2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Why Companies Choose Avidbolt</w:t>
      </w: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60"/>
        <w:gridCol w:w="4790"/>
      </w:tblGrid>
      <w:tr>
        <w:tc>
          <w:tcPr>
            <w:tcW w:type="dxa" w:w="4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20"/>
                <w:szCs w:val="20"/>
              </w:rPr>
              <w:t xml:space="preserve">Certified, Hands-On Experts</w:t>
            </w:r>
          </w:p>
          <w:p>
            <w:r>
              <w:rPr>
                <w:rFonts w:ascii="Calibri" w:cs="Calibri" w:eastAsia="Calibri" w:hAnsi="Calibri"/>
                <w:color w:val="5B6B7F"/>
                <w:sz w:val="18"/>
                <w:szCs w:val="18"/>
              </w:rPr>
              <w:t xml:space="preserve">Every engagement is led by certified consultants who configure and build — not just advise.</w:t>
            </w:r>
          </w:p>
        </w:tc>
        <w:tc>
          <w:tcPr>
            <w:tcW w:type="dxa" w:w="47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20"/>
                <w:szCs w:val="20"/>
              </w:rPr>
              <w:t xml:space="preserve">Process, Not Guesswork</w:t>
            </w:r>
          </w:p>
          <w:p>
            <w:r>
              <w:rPr>
                <w:rFonts w:ascii="Calibri" w:cs="Calibri" w:eastAsia="Calibri" w:hAnsi="Calibri"/>
                <w:color w:val="5B6B7F"/>
                <w:sz w:val="18"/>
                <w:szCs w:val="18"/>
              </w:rPr>
              <w:t xml:space="preserve">A disciplined five-stage delivery process keeps every project on time and on scope.</w:t>
            </w:r>
          </w:p>
        </w:tc>
      </w:tr>
      <w:tr>
        <w:tc>
          <w:tcPr>
            <w:tcW w:type="dxa" w:w="4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200"/>
            </w:pPr>
          </w:p>
        </w:tc>
        <w:tc>
          <w:tcPr>
            <w:tcW w:type="dxa" w:w="47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200"/>
            </w:pPr>
          </w:p>
        </w:tc>
      </w:tr>
      <w:tr>
        <w:tc>
          <w:tcPr>
            <w:tcW w:type="dxa" w:w="4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20"/>
                <w:szCs w:val="20"/>
              </w:rPr>
              <w:t xml:space="preserve">Support That Doesn't Disappear</w:t>
            </w:r>
          </w:p>
          <w:p>
            <w:r>
              <w:rPr>
                <w:rFonts w:ascii="Calibri" w:cs="Calibri" w:eastAsia="Calibri" w:hAnsi="Calibri"/>
                <w:color w:val="5B6B7F"/>
                <w:sz w:val="18"/>
                <w:szCs w:val="18"/>
              </w:rPr>
              <w:t xml:space="preserve">We stay engaged after go-live with managed services, training, and fast troubleshooting.</w:t>
            </w:r>
          </w:p>
        </w:tc>
        <w:tc>
          <w:tcPr>
            <w:tcW w:type="dxa" w:w="47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20"/>
                <w:szCs w:val="20"/>
              </w:rPr>
              <w:t xml:space="preserve">Multi-Platform Depth</w:t>
            </w:r>
          </w:p>
          <w:p>
            <w:r>
              <w:rPr>
                <w:rFonts w:ascii="Calibri" w:cs="Calibri" w:eastAsia="Calibri" w:hAnsi="Calibri"/>
                <w:color w:val="5B6B7F"/>
                <w:sz w:val="18"/>
                <w:szCs w:val="18"/>
              </w:rPr>
              <w:t xml:space="preserve">One partner for Salesforce, SAP, ServiceNow, MS Dynamics, and the integrations between them.</w:t>
            </w:r>
          </w:p>
        </w:tc>
      </w:tr>
    </w:tbl>
    <w:p>
      <w:pPr>
        <w:spacing w:after="200" w:before="420"/>
      </w:pP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37"/>
        <w:gridCol w:w="2337"/>
        <w:gridCol w:w="2338"/>
        <w:gridCol w:w="2338"/>
      </w:tblGrid>
      <w:tr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60"/>
              <w:left w:type="dxa" w:w="120"/>
              <w:bottom w:type="dxa" w:w="26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6FDB"/>
                <w:sz w:val="32"/>
                <w:szCs w:val="32"/>
              </w:rPr>
              <w:t xml:space="preserve">5+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15"/>
                <w:szCs w:val="15"/>
              </w:rPr>
              <w:t xml:space="preserve">Years of Experience</w:t>
            </w:r>
          </w:p>
        </w:tc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60"/>
              <w:left w:type="dxa" w:w="120"/>
              <w:bottom w:type="dxa" w:w="26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6FDB"/>
                <w:sz w:val="32"/>
                <w:szCs w:val="32"/>
              </w:rPr>
              <w:t xml:space="preserve">50+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15"/>
                <w:szCs w:val="15"/>
              </w:rPr>
              <w:t xml:space="preserve">Projects Delivered</w:t>
            </w:r>
          </w:p>
        </w:tc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60"/>
              <w:left w:type="dxa" w:w="120"/>
              <w:bottom w:type="dxa" w:w="26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6FDB"/>
                <w:sz w:val="32"/>
                <w:szCs w:val="32"/>
              </w:rPr>
              <w:t xml:space="preserve">30+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15"/>
                <w:szCs w:val="15"/>
              </w:rPr>
              <w:t xml:space="preserve">Clients Served</w:t>
            </w:r>
          </w:p>
        </w:tc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60"/>
              <w:left w:type="dxa" w:w="120"/>
              <w:bottom w:type="dxa" w:w="26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6FDB"/>
                <w:sz w:val="32"/>
                <w:szCs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15"/>
                <w:szCs w:val="15"/>
              </w:rPr>
              <w:t xml:space="preserve">Industries Served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F6FDB"/>
          <w:spacing w:val="20"/>
          <w:sz w:val="18"/>
          <w:szCs w:val="18"/>
        </w:rPr>
        <w:t xml:space="preserve">WHAT WE DO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0243E"/>
          <w:sz w:val="30"/>
          <w:szCs w:val="30"/>
        </w:rPr>
        <w:t xml:space="preserve">Core Services</w:t>
      </w:r>
    </w:p>
    <w:p>
      <w:pPr>
        <w:pBdr>
          <w:bottom w:val="single" w:color="2F6FDB" w:sz="18"/>
        </w:pBdr>
        <w:spacing w:after="200"/>
      </w:pPr>
    </w:p>
    <w:p>
      <w:pPr>
        <w:pBdr>
          <w:left w:val="single" w:color="2F6FDB" w:sz="24" w:space="8"/>
        </w:pBdr>
        <w:spacing w:after="40" w:before="200"/>
        <w:ind w:left="20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Salesforce</w:t>
      </w:r>
    </w:p>
    <w:p>
      <w:pPr>
        <w:spacing w:after="120"/>
        <w:ind w:left="200"/>
      </w:pPr>
      <w:r>
        <w:rPr>
          <w:rFonts w:ascii="Calibri" w:cs="Calibri" w:eastAsia="Calibri" w:hAnsi="Calibri"/>
          <w:color w:val="5B6B7F"/>
          <w:sz w:val="19"/>
          <w:szCs w:val="19"/>
        </w:rPr>
        <w:t xml:space="preserve">Implementation, consulting, custom development, and managed support across Sales, Service, Marketing, Health, and Financial Cloud — plus integrations that keep Salesforce talking to the rest of your stack.</w:t>
      </w:r>
    </w:p>
    <w:p>
      <w:pPr>
        <w:pBdr>
          <w:left w:val="single" w:color="2F6FDB" w:sz="24" w:space="8"/>
        </w:pBdr>
        <w:spacing w:after="40" w:before="200"/>
        <w:ind w:left="20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SAP</w:t>
      </w:r>
    </w:p>
    <w:p>
      <w:pPr>
        <w:spacing w:after="120"/>
        <w:ind w:left="200"/>
      </w:pPr>
      <w:r>
        <w:rPr>
          <w:rFonts w:ascii="Calibri" w:cs="Calibri" w:eastAsia="Calibri" w:hAnsi="Calibri"/>
          <w:color w:val="5B6B7F"/>
          <w:sz w:val="19"/>
          <w:szCs w:val="19"/>
        </w:rPr>
        <w:t xml:space="preserve">From FICO and SD to S/4HANA migrations and SAP BTP, we help enterprises modernize core ERP processes and connect them cleanly to cloud services.</w:t>
      </w:r>
    </w:p>
    <w:p>
      <w:pPr>
        <w:pBdr>
          <w:left w:val="single" w:color="2F6FDB" w:sz="24" w:space="8"/>
        </w:pBdr>
        <w:spacing w:after="40" w:before="200"/>
        <w:ind w:left="20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ServiceNow</w:t>
      </w:r>
    </w:p>
    <w:p>
      <w:pPr>
        <w:spacing w:after="120"/>
        <w:ind w:left="200"/>
      </w:pPr>
      <w:r>
        <w:rPr>
          <w:rFonts w:ascii="Calibri" w:cs="Calibri" w:eastAsia="Calibri" w:hAnsi="Calibri"/>
          <w:color w:val="5B6B7F"/>
          <w:sz w:val="19"/>
          <w:szCs w:val="19"/>
        </w:rPr>
        <w:t xml:space="preserve">ITSM, ITOM, CSM, SecOps, GRC, ITAM, and HRSD implementations that turn scattered service requests into a single, well-governed workflow.</w:t>
      </w:r>
    </w:p>
    <w:p>
      <w:pPr>
        <w:pBdr>
          <w:left w:val="single" w:color="2F6FDB" w:sz="24" w:space="8"/>
        </w:pBdr>
        <w:spacing w:after="40" w:before="200"/>
        <w:ind w:left="20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Microsoft Dynamics 365</w:t>
      </w:r>
    </w:p>
    <w:p>
      <w:pPr>
        <w:spacing w:after="120"/>
        <w:ind w:left="200"/>
      </w:pPr>
      <w:r>
        <w:rPr>
          <w:rFonts w:ascii="Calibri" w:cs="Calibri" w:eastAsia="Calibri" w:hAnsi="Calibri"/>
          <w:color w:val="5B6B7F"/>
          <w:sz w:val="19"/>
          <w:szCs w:val="19"/>
        </w:rPr>
        <w:t xml:space="preserve">Business Central, Sales, Marketing, Customer Service, Field Service, and Project Operations — configured around how your teams actually sell and deliver.</w:t>
      </w:r>
    </w:p>
    <w:p>
      <w:pPr>
        <w:pBdr>
          <w:left w:val="single" w:color="2F6FDB" w:sz="24" w:space="8"/>
        </w:pBdr>
        <w:spacing w:after="40" w:before="200"/>
        <w:ind w:left="20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App Development</w:t>
      </w:r>
    </w:p>
    <w:p>
      <w:pPr>
        <w:spacing w:after="120"/>
        <w:ind w:left="200"/>
      </w:pPr>
      <w:r>
        <w:rPr>
          <w:rFonts w:ascii="Calibri" w:cs="Calibri" w:eastAsia="Calibri" w:hAnsi="Calibri"/>
          <w:color w:val="5B6B7F"/>
          <w:sz w:val="19"/>
          <w:szCs w:val="19"/>
        </w:rPr>
        <w:t xml:space="preserve">Native and cross-platform mobile apps in Android, iOS, Flutter, and Kotlin, built to plug directly into your CRM and ERP systems.</w:t>
      </w:r>
    </w:p>
    <w:p>
      <w:pPr>
        <w:pBdr>
          <w:left w:val="single" w:color="2F6FDB" w:sz="24" w:space="8"/>
        </w:pBdr>
        <w:spacing w:after="40" w:before="200"/>
        <w:ind w:left="20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Cloud Development</w:t>
      </w:r>
    </w:p>
    <w:p>
      <w:pPr>
        <w:spacing w:after="120"/>
        <w:ind w:left="200"/>
      </w:pPr>
      <w:r>
        <w:rPr>
          <w:rFonts w:ascii="Calibri" w:cs="Calibri" w:eastAsia="Calibri" w:hAnsi="Calibri"/>
          <w:color w:val="5B6B7F"/>
          <w:sz w:val="19"/>
          <w:szCs w:val="19"/>
        </w:rPr>
        <w:t xml:space="preserve">Cloud-native application development and migration services that move legacy workloads onto modern, scalable infrastructure without disrupting the business.</w:t>
      </w:r>
    </w:p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F6FDB"/>
          <w:spacing w:val="20"/>
          <w:sz w:val="18"/>
          <w:szCs w:val="18"/>
        </w:rPr>
        <w:t xml:space="preserve">FLAGSHIP PRACTICE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0243E"/>
          <w:sz w:val="30"/>
          <w:szCs w:val="30"/>
        </w:rPr>
        <w:t xml:space="preserve">Mastering the Salesforce Ecosystem</w:t>
      </w:r>
    </w:p>
    <w:p>
      <w:pPr>
        <w:pBdr>
          <w:bottom w:val="single" w:color="2F6FDB" w:sz="18"/>
        </w:pBdr>
        <w:spacing w:after="200"/>
      </w:pPr>
    </w:p>
    <w:p>
      <w:pPr>
        <w:spacing w:after="160"/>
      </w:pPr>
      <w:r>
        <w:rPr>
          <w:rFonts w:ascii="Calibri" w:cs="Calibri" w:eastAsia="Calibri" w:hAnsi="Calibri"/>
          <w:color w:val="5B6B7F"/>
          <w:sz w:val="20"/>
          <w:szCs w:val="20"/>
        </w:rPr>
        <w:t xml:space="preserve">We bring hands-on, certified expertise across the full Salesforce platform — not just the modules everyone knows.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Salesforce Services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0B1A2E"/>
          <w:sz w:val="20"/>
          <w:szCs w:val="20"/>
        </w:rPr>
        <w:t xml:space="preserve">Implementation — architecture, configuration, and adoption support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0B1A2E"/>
          <w:sz w:val="20"/>
          <w:szCs w:val="20"/>
        </w:rPr>
        <w:t xml:space="preserve">Consulting — process audits and measurable improvement plans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0B1A2E"/>
          <w:sz w:val="20"/>
          <w:szCs w:val="20"/>
        </w:rPr>
        <w:t xml:space="preserve">ISV Development — AppExchange-ready builds that pass security review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0B1A2E"/>
          <w:sz w:val="20"/>
          <w:szCs w:val="20"/>
        </w:rPr>
        <w:t xml:space="preserve">Managed Services — ongoing monitoring, upgrades, and troubleshooting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0B1A2E"/>
          <w:sz w:val="20"/>
          <w:szCs w:val="20"/>
        </w:rPr>
        <w:t xml:space="preserve">Integration — connecting Salesforce to ERP, marketing, and automation tools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0B1A2E"/>
          <w:sz w:val="20"/>
          <w:szCs w:val="20"/>
        </w:rPr>
        <w:t xml:space="preserve">Support — responsive L1/L2 support to keep users productive</w:t>
      </w:r>
    </w:p>
    <w:p>
      <w:pPr>
        <w:spacing w:after="20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Clouds We Implement</w:t>
      </w: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16"/>
        <w:gridCol w:w="3117"/>
        <w:gridCol w:w="3117"/>
      </w:tblGrid>
      <w:tr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18"/>
                <w:szCs w:val="18"/>
              </w:rPr>
              <w:t xml:space="preserve">Sales Cloud</w:t>
            </w:r>
          </w:p>
        </w:tc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18"/>
                <w:szCs w:val="18"/>
              </w:rPr>
              <w:t xml:space="preserve">Service Cloud</w:t>
            </w:r>
          </w:p>
        </w:tc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18"/>
                <w:szCs w:val="18"/>
              </w:rPr>
              <w:t xml:space="preserve">Marketing Cloud</w:t>
            </w:r>
          </w:p>
        </w:tc>
      </w:tr>
      <w:tr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18"/>
                <w:szCs w:val="18"/>
              </w:rPr>
              <w:t xml:space="preserve">Health Cloud</w:t>
            </w:r>
          </w:p>
        </w:tc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18"/>
                <w:szCs w:val="18"/>
              </w:rPr>
              <w:t xml:space="preserve">Financial Cloud</w:t>
            </w:r>
          </w:p>
        </w:tc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18"/>
                <w:szCs w:val="18"/>
              </w:rPr>
              <w:t xml:space="preserve">Data Cloud</w:t>
            </w:r>
          </w:p>
        </w:tc>
      </w:tr>
      <w:tr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18"/>
                <w:szCs w:val="18"/>
              </w:rPr>
              <w:t xml:space="preserve">Experience Cloud</w:t>
            </w:r>
          </w:p>
        </w:tc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18"/>
                <w:szCs w:val="18"/>
              </w:rPr>
              <w:t xml:space="preserve">Account Engagement / Pardot</w:t>
            </w:r>
          </w:p>
        </w:tc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18"/>
                <w:szCs w:val="18"/>
              </w:rPr>
              <w:t xml:space="preserve">Einstein AI Services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F6FDB"/>
          <w:spacing w:val="20"/>
          <w:sz w:val="18"/>
          <w:szCs w:val="18"/>
        </w:rPr>
        <w:t xml:space="preserve">HOW WE WORK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0243E"/>
          <w:sz w:val="30"/>
          <w:szCs w:val="30"/>
        </w:rPr>
        <w:t xml:space="preserve">Our Development Process</w:t>
      </w:r>
    </w:p>
    <w:p>
      <w:pPr>
        <w:pBdr>
          <w:bottom w:val="single" w:color="2F6FDB" w:sz="18"/>
        </w:pBdr>
        <w:spacing w:after="200"/>
      </w:pP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45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F6FDB"/>
                <w:sz w:val="30"/>
                <w:szCs w:val="30"/>
              </w:rPr>
              <w:t xml:space="preserve">01</w:t>
            </w:r>
          </w:p>
        </w:tc>
        <w:tc>
          <w:tcPr>
            <w:tcW w:type="dxa" w:w="8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220"/>
              <w:right w:type="dxa" w:w="0"/>
            </w:tcMar>
            <w:vAlign w:val="top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21"/>
                <w:szCs w:val="21"/>
              </w:rPr>
              <w:t xml:space="preserve">Discovery &amp; Strategy</w:t>
            </w:r>
          </w:p>
          <w:p>
            <w:r>
              <w:rPr>
                <w:rFonts w:ascii="Calibri" w:cs="Calibri" w:eastAsia="Calibri" w:hAnsi="Calibri"/>
                <w:color w:val="5B6B7F"/>
                <w:sz w:val="18"/>
                <w:szCs w:val="18"/>
              </w:rPr>
              <w:t xml:space="preserve">Understand your current setup, goals, and constraints before any design work starts.</w:t>
            </w:r>
          </w:p>
        </w:tc>
      </w:tr>
    </w:tbl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45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F6FDB"/>
                <w:sz w:val="30"/>
                <w:szCs w:val="30"/>
              </w:rPr>
              <w:t xml:space="preserve">02</w:t>
            </w:r>
          </w:p>
        </w:tc>
        <w:tc>
          <w:tcPr>
            <w:tcW w:type="dxa" w:w="8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220"/>
              <w:right w:type="dxa" w:w="0"/>
            </w:tcMar>
            <w:vAlign w:val="top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21"/>
                <w:szCs w:val="21"/>
              </w:rPr>
              <w:t xml:space="preserve">Design &amp; Architecture</w:t>
            </w:r>
          </w:p>
          <w:p>
            <w:r>
              <w:rPr>
                <w:rFonts w:ascii="Calibri" w:cs="Calibri" w:eastAsia="Calibri" w:hAnsi="Calibri"/>
                <w:color w:val="5B6B7F"/>
                <w:sz w:val="18"/>
                <w:szCs w:val="18"/>
              </w:rPr>
              <w:t xml:space="preserve">Map out the technical blueprint, data model, and integration points.</w:t>
            </w:r>
          </w:p>
        </w:tc>
      </w:tr>
    </w:tbl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45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F6FDB"/>
                <w:sz w:val="30"/>
                <w:szCs w:val="30"/>
              </w:rPr>
              <w:t xml:space="preserve">03</w:t>
            </w:r>
          </w:p>
        </w:tc>
        <w:tc>
          <w:tcPr>
            <w:tcW w:type="dxa" w:w="8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220"/>
              <w:right w:type="dxa" w:w="0"/>
            </w:tcMar>
            <w:vAlign w:val="top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21"/>
                <w:szCs w:val="21"/>
              </w:rPr>
              <w:t xml:space="preserve">Build &amp; Configuration</w:t>
            </w:r>
          </w:p>
          <w:p>
            <w:r>
              <w:rPr>
                <w:rFonts w:ascii="Calibri" w:cs="Calibri" w:eastAsia="Calibri" w:hAnsi="Calibri"/>
                <w:color w:val="5B6B7F"/>
                <w:sz w:val="18"/>
                <w:szCs w:val="18"/>
              </w:rPr>
              <w:t xml:space="preserve">Develop, configure, and integrate the solution in iterative, reviewable stages.</w:t>
            </w:r>
          </w:p>
        </w:tc>
      </w:tr>
    </w:tbl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45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F6FDB"/>
                <w:sz w:val="30"/>
                <w:szCs w:val="30"/>
              </w:rPr>
              <w:t xml:space="preserve">04</w:t>
            </w:r>
          </w:p>
        </w:tc>
        <w:tc>
          <w:tcPr>
            <w:tcW w:type="dxa" w:w="8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220"/>
              <w:right w:type="dxa" w:w="0"/>
            </w:tcMar>
            <w:vAlign w:val="top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21"/>
                <w:szCs w:val="21"/>
              </w:rPr>
              <w:t xml:space="preserve">QA &amp; Testing</w:t>
            </w:r>
          </w:p>
          <w:p>
            <w:r>
              <w:rPr>
                <w:rFonts w:ascii="Calibri" w:cs="Calibri" w:eastAsia="Calibri" w:hAnsi="Calibri"/>
                <w:color w:val="5B6B7F"/>
                <w:sz w:val="18"/>
                <w:szCs w:val="18"/>
              </w:rPr>
              <w:t xml:space="preserve">Full user acceptance testing before anything reaches production.</w:t>
            </w:r>
          </w:p>
        </w:tc>
      </w:tr>
    </w:tbl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45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F6FDB"/>
                <w:sz w:val="30"/>
                <w:szCs w:val="30"/>
              </w:rPr>
              <w:t xml:space="preserve">05</w:t>
            </w:r>
          </w:p>
        </w:tc>
        <w:tc>
          <w:tcPr>
            <w:tcW w:type="dxa" w:w="8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220"/>
              <w:right w:type="dxa" w:w="0"/>
            </w:tcMar>
            <w:vAlign w:val="top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0243E"/>
                <w:sz w:val="21"/>
                <w:szCs w:val="21"/>
              </w:rPr>
              <w:t xml:space="preserve">Launch &amp; Training</w:t>
            </w:r>
          </w:p>
          <w:p>
            <w:r>
              <w:rPr>
                <w:rFonts w:ascii="Calibri" w:cs="Calibri" w:eastAsia="Calibri" w:hAnsi="Calibri"/>
                <w:color w:val="5B6B7F"/>
                <w:sz w:val="18"/>
                <w:szCs w:val="18"/>
              </w:rPr>
              <w:t xml:space="preserve">Go-live support, data migration, and hands-on training so your team is confident from day one.</w:t>
            </w:r>
          </w:p>
        </w:tc>
      </w:tr>
    </w:tbl>
    <w:p>
      <w:pPr>
        <w:spacing w:after="200" w:before="30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Industries We Serve</w:t>
      </w:r>
    </w:p>
    <w:p>
      <w:pPr>
        <w:spacing w:after="140"/>
      </w:pPr>
      <w:r>
        <w:rPr>
          <w:rFonts w:ascii="Calibri" w:cs="Calibri" w:eastAsia="Calibri" w:hAnsi="Calibri"/>
          <w:color w:val="5B6B7F"/>
          <w:sz w:val="20"/>
          <w:szCs w:val="20"/>
        </w:rPr>
        <w:t xml:space="preserve">We tailor every engagement to the specific rules, workflows, and pressures of your sector.</w:t>
      </w: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37"/>
        <w:gridCol w:w="2337"/>
        <w:gridCol w:w="2338"/>
        <w:gridCol w:w="2338"/>
      </w:tblGrid>
      <w:tr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Healthcare</w:t>
            </w:r>
          </w:p>
        </w:tc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Education</w:t>
            </w:r>
          </w:p>
        </w:tc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 Services</w:t>
            </w:r>
          </w:p>
        </w:tc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Finance</w:t>
            </w:r>
          </w:p>
        </w:tc>
      </w:tr>
      <w:tr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Real Estate</w:t>
            </w:r>
          </w:p>
        </w:tc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Energy</w:t>
            </w:r>
          </w:p>
        </w:tc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Retail</w:t>
            </w:r>
          </w:p>
        </w:tc>
        <w:tc>
          <w:tcPr>
            <w:tcW w:type="dxa" w:w="2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Insurance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F6FDB"/>
          <w:spacing w:val="20"/>
          <w:sz w:val="18"/>
          <w:szCs w:val="18"/>
        </w:rPr>
        <w:t xml:space="preserve">LEADERSHIP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0243E"/>
          <w:sz w:val="30"/>
          <w:szCs w:val="30"/>
        </w:rPr>
        <w:t xml:space="preserve">The People Behind the Platform</w:t>
      </w:r>
    </w:p>
    <w:p>
      <w:pPr>
        <w:pBdr>
          <w:bottom w:val="single" w:color="2F6FDB" w:sz="18"/>
        </w:pBdr>
        <w:spacing w:after="200"/>
      </w:pPr>
    </w:p>
    <w:p>
      <w:pPr>
        <w:spacing w:after="160"/>
      </w:pPr>
      <w:r>
        <w:rPr>
          <w:rFonts w:ascii="Calibri" w:cs="Calibri" w:eastAsia="Calibri" w:hAnsi="Calibri"/>
          <w:color w:val="5B6B7F"/>
          <w:sz w:val="20"/>
          <w:szCs w:val="20"/>
        </w:rPr>
        <w:t xml:space="preserve">Our certified architects and consultants don't just implement platforms — they stay accountable for the outcomes.</w:t>
      </w:r>
    </w:p>
    <w:p>
      <w:pPr>
        <w:tabs>
          <w:tab w:val="left" w:pos="4320"/>
        </w:tabs>
        <w:spacing w:after="100"/>
      </w:pPr>
      <w:r>
        <w:rPr>
          <w:rFonts w:ascii="Calibri" w:cs="Calibri" w:eastAsia="Calibri" w:hAnsi="Calibri"/>
          <w:b/>
          <w:bCs/>
          <w:color w:val="10243E"/>
          <w:sz w:val="20"/>
          <w:szCs w:val="20"/>
        </w:rPr>
        <w:t xml:space="preserve">Sagar Munishivanne Gowda</w:t>
      </w:r>
      <w:r>
        <w:rPr>
          <w:rFonts w:ascii="Calibri" w:cs="Calibri" w:eastAsia="Calibri" w:hAnsi="Calibri"/>
          <w:i/>
          <w:iCs/>
          <w:color w:val="5B6B7F"/>
          <w:sz w:val="20"/>
          <w:szCs w:val="20"/>
        </w:rPr>
        <w:t xml:space="preserve">	Chief Executive Officer</w:t>
      </w:r>
    </w:p>
    <w:p>
      <w:pPr>
        <w:tabs>
          <w:tab w:val="left" w:pos="4320"/>
        </w:tabs>
        <w:spacing w:after="100"/>
      </w:pPr>
      <w:r>
        <w:rPr>
          <w:rFonts w:ascii="Calibri" w:cs="Calibri" w:eastAsia="Calibri" w:hAnsi="Calibri"/>
          <w:b/>
          <w:bCs/>
          <w:color w:val="10243E"/>
          <w:sz w:val="20"/>
          <w:szCs w:val="20"/>
        </w:rPr>
        <w:t xml:space="preserve">Parth Kadeval</w:t>
      </w:r>
      <w:r>
        <w:rPr>
          <w:rFonts w:ascii="Calibri" w:cs="Calibri" w:eastAsia="Calibri" w:hAnsi="Calibri"/>
          <w:i/>
          <w:iCs/>
          <w:color w:val="5B6B7F"/>
          <w:sz w:val="20"/>
          <w:szCs w:val="20"/>
        </w:rPr>
        <w:t xml:space="preserve">	Chief Financial Officer</w:t>
      </w:r>
    </w:p>
    <w:p>
      <w:pPr>
        <w:tabs>
          <w:tab w:val="left" w:pos="4320"/>
        </w:tabs>
        <w:spacing w:after="100"/>
      </w:pPr>
      <w:r>
        <w:rPr>
          <w:rFonts w:ascii="Calibri" w:cs="Calibri" w:eastAsia="Calibri" w:hAnsi="Calibri"/>
          <w:b/>
          <w:bCs/>
          <w:color w:val="10243E"/>
          <w:sz w:val="20"/>
          <w:szCs w:val="20"/>
        </w:rPr>
        <w:t xml:space="preserve">Pooja Kadeval</w:t>
      </w:r>
      <w:r>
        <w:rPr>
          <w:rFonts w:ascii="Calibri" w:cs="Calibri" w:eastAsia="Calibri" w:hAnsi="Calibri"/>
          <w:i/>
          <w:iCs/>
          <w:color w:val="5B6B7F"/>
          <w:sz w:val="20"/>
          <w:szCs w:val="20"/>
        </w:rPr>
        <w:t xml:space="preserve">	Director</w:t>
      </w:r>
    </w:p>
    <w:p>
      <w:pPr>
        <w:tabs>
          <w:tab w:val="left" w:pos="4320"/>
        </w:tabs>
        <w:spacing w:after="100"/>
      </w:pPr>
      <w:r>
        <w:rPr>
          <w:rFonts w:ascii="Calibri" w:cs="Calibri" w:eastAsia="Calibri" w:hAnsi="Calibri"/>
          <w:b/>
          <w:bCs/>
          <w:color w:val="10243E"/>
          <w:sz w:val="20"/>
          <w:szCs w:val="20"/>
        </w:rPr>
        <w:t xml:space="preserve">Sihi Es</w:t>
      </w:r>
      <w:r>
        <w:rPr>
          <w:rFonts w:ascii="Calibri" w:cs="Calibri" w:eastAsia="Calibri" w:hAnsi="Calibri"/>
          <w:i/>
          <w:iCs/>
          <w:color w:val="5B6B7F"/>
          <w:sz w:val="20"/>
          <w:szCs w:val="20"/>
        </w:rPr>
        <w:t xml:space="preserve">	Director</w:t>
      </w:r>
    </w:p>
    <w:p>
      <w:pPr>
        <w:tabs>
          <w:tab w:val="left" w:pos="4320"/>
        </w:tabs>
        <w:spacing w:after="100"/>
      </w:pPr>
      <w:r>
        <w:rPr>
          <w:rFonts w:ascii="Calibri" w:cs="Calibri" w:eastAsia="Calibri" w:hAnsi="Calibri"/>
          <w:b/>
          <w:bCs/>
          <w:color w:val="10243E"/>
          <w:sz w:val="20"/>
          <w:szCs w:val="20"/>
        </w:rPr>
        <w:t xml:space="preserve">Priyank Kankotiya</w:t>
      </w:r>
      <w:r>
        <w:rPr>
          <w:rFonts w:ascii="Calibri" w:cs="Calibri" w:eastAsia="Calibri" w:hAnsi="Calibri"/>
          <w:i/>
          <w:iCs/>
          <w:color w:val="5B6B7F"/>
          <w:sz w:val="20"/>
          <w:szCs w:val="20"/>
        </w:rPr>
        <w:t xml:space="preserve">	Senior Architect</w:t>
      </w:r>
    </w:p>
    <w:p>
      <w:pPr>
        <w:spacing w:after="200" w:before="42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0243E"/>
          <w:sz w:val="22"/>
          <w:szCs w:val="22"/>
        </w:rPr>
        <w:t xml:space="preserve">What Clients Say</w:t>
      </w: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200"/>
              <w:left w:type="dxa" w:w="260"/>
              <w:bottom w:type="dxa" w:w="200"/>
              <w:right w:type="dxa" w:w="26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0B1A2E"/>
                <w:sz w:val="19"/>
                <w:szCs w:val="19"/>
              </w:rPr>
              <w:t xml:space="preserve">“Avidbolt got up to speed on our setup fast. Data’s cleaner, training was solid, and we saved a good chunk of time.”</w:t>
            </w:r>
          </w:p>
          <w:p>
            <w:r>
              <w:rPr>
                <w:rFonts w:ascii="Calibri" w:cs="Calibri" w:eastAsia="Calibri" w:hAnsi="Calibri"/>
                <w:b/>
                <w:bCs/>
                <w:color w:val="2F6FDB"/>
                <w:sz w:val="17"/>
                <w:szCs w:val="17"/>
              </w:rPr>
              <w:t xml:space="preserve">— VP of Sales Operations</w:t>
            </w:r>
          </w:p>
        </w:tc>
      </w:tr>
      <w:tr>
        <w:tc>
          <w:tcPr>
            <w:tcW w:type="dxa" w:w="9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160"/>
            </w:pPr>
          </w:p>
        </w:tc>
      </w:tr>
    </w:tbl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val="clear"/>
            <w:tcMar>
              <w:top w:type="dxa" w:w="200"/>
              <w:left w:type="dxa" w:w="260"/>
              <w:bottom w:type="dxa" w:w="200"/>
              <w:right w:type="dxa" w:w="26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0B1A2E"/>
                <w:sz w:val="19"/>
                <w:szCs w:val="19"/>
              </w:rPr>
              <w:t xml:space="preserve">“Their developers clearly knew what they were doing — sharper than anyone we’d worked with before.”</w:t>
            </w:r>
          </w:p>
          <w:p>
            <w:r>
              <w:rPr>
                <w:rFonts w:ascii="Calibri" w:cs="Calibri" w:eastAsia="Calibri" w:hAnsi="Calibri"/>
                <w:b/>
                <w:bCs/>
                <w:color w:val="2F6FDB"/>
                <w:sz w:val="17"/>
                <w:szCs w:val="17"/>
              </w:rPr>
              <w:t xml:space="preserve">— Director of Logistics</w:t>
            </w:r>
          </w:p>
        </w:tc>
      </w:tr>
      <w:tr>
        <w:tc>
          <w:tcPr>
            <w:tcW w:type="dxa" w:w="9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160"/>
            </w:pPr>
          </w:p>
        </w:tc>
      </w:tr>
    </w:tbl>
    <w:p>
      <w:pPr>
        <w:sectPr>
          <w:headerReference w:type="default" r:id="rId9"/>
          <w:footerReference w:type="default" r:id="rId10"/>
          <w:pgSz w:w="12240" w:h="15840" w:orient="portrait"/>
          <w:pgMar w:top="900" w:right="900" w:bottom="900" w:left="900" w:header="708" w:footer="708" w:gutter="0"/>
          <w:pgNumType/>
          <w:docGrid w:linePitch="360"/>
        </w:sectPr>
      </w:pPr>
    </w:p>
    <w:tbl>
      <w:tblPr>
        <w:tblW w:type="dxa" w:w="12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240"/>
      </w:tblGrid>
      <w:tr>
        <w:trPr>
          <w:trHeight w:val="15820" w:hRule="atLeast"/>
        </w:trPr>
        <w:tc>
          <w:tcPr>
            <w:tcW w:type="dxa" w:w="12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A2E" w:val="clear"/>
            <w:tcMar>
              <w:top w:type="dxa" w:w="700"/>
              <w:left w:type="dxa" w:w="700"/>
              <w:bottom w:type="dxa" w:w="700"/>
              <w:right w:type="dxa" w:w="70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6FDB"/>
                <w:spacing w:val="20"/>
                <w:sz w:val="22"/>
                <w:szCs w:val="22"/>
              </w:rPr>
              <w:t xml:space="preserve">LET'S BUILD YOUR NEXT PLATFORM</w:t>
            </w:r>
          </w:p>
          <w:p>
            <w:pPr>
              <w:spacing w:after="3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Book a Free Consultation</w:t>
            </w:r>
          </w:p>
          <w:p>
            <w:pPr>
              <w:spacing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Avidbolt Solution LLP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color w:val="C7D2E3"/>
                <w:sz w:val="18"/>
                <w:szCs w:val="18"/>
              </w:rPr>
              <w:t xml:space="preserve">6951 S Custer Rd, McKinney, TX 75070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color w:val="C7D2E3"/>
                <w:sz w:val="18"/>
                <w:szCs w:val="18"/>
              </w:rPr>
              <w:t xml:space="preserve">(915) 235-6931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color w:val="C7D2E3"/>
                <w:sz w:val="18"/>
                <w:szCs w:val="18"/>
              </w:rPr>
              <w:t xml:space="preserve">contact@avidboltsolution.com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6FDB"/>
                <w:sz w:val="20"/>
                <w:szCs w:val="20"/>
              </w:rPr>
              <w:t xml:space="preserve">www.avidbolt.com</w:t>
            </w:r>
          </w:p>
        </w:tc>
      </w:tr>
    </w:tbl>
    <w:sectPr>
      <w:headerReference w:type="default" r:id="rId11"/>
      <w:footerReference w:type="default" r:id="rId12"/>
      <w:pgSz w:w="12240" w:h="15840" w:orient="portrait"/>
      <w:pgMar w:top="0" w:right="0" w:bottom="0" w:left="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EE8" w:sz="6"/>
      </w:pBdr>
      <w:tabs>
        <w:tab w:val="right" w:pos="9360"/>
      </w:tabs>
      <w:spacing w:before="100"/>
    </w:pPr>
    <w:r>
      <w:rPr>
        <w:rFonts w:ascii="Calibri" w:cs="Calibri" w:eastAsia="Calibri" w:hAnsi="Calibri"/>
        <w:color w:val="5B6B7F"/>
        <w:sz w:val="15"/>
        <w:szCs w:val="15"/>
      </w:rPr>
      <w:t xml:space="preserve">avidbolt.com   |   contact@avidboltsolution.com   |   (915) 235-6931</w:t>
    </w:r>
    <w:r>
      <w:rPr>
        <w:sz w:val="15"/>
        <w:szCs w:val="15"/>
      </w:rPr>
      <w:t xml:space="preserve">	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EE8" w:sz="6"/>
      </w:pBdr>
      <w:spacing w:after="100"/>
      <w:jc w:val="right"/>
    </w:pPr>
    <w:r>
      <w:rPr>
        <w:rFonts w:ascii="Calibri" w:cs="Calibri" w:eastAsia="Calibri" w:hAnsi="Calibri"/>
        <w:b/>
        <w:bCs/>
        <w:color w:val="10243E"/>
        <w:sz w:val="18"/>
        <w:szCs w:val="18"/>
      </w:rPr>
      <w:t xml:space="preserve">AVIDBOLT </w:t>
    </w:r>
    <w:r>
      <w:rPr>
        <w:rFonts w:ascii="Calibri" w:cs="Calibri" w:eastAsia="Calibri" w:hAnsi="Calibri"/>
        <w:b/>
        <w:bCs/>
        <w:color w:val="2F6FDB"/>
        <w:sz w:val="18"/>
        <w:szCs w:val="18"/>
      </w:rPr>
      <w:t xml:space="preserve">SOLUTIONS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3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2026-09-14T10:54:50.412Z</dcterms:created>
  <dcterms:modified xsi:type="dcterms:W3CDTF">2026-09-14T10:54:50.412Z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